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5A1E1970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296A05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6B134" w14:textId="77777777" w:rsidR="006B41C7" w:rsidRDefault="006B41C7">
      <w:r>
        <w:separator/>
      </w:r>
    </w:p>
  </w:endnote>
  <w:endnote w:type="continuationSeparator" w:id="0">
    <w:p w14:paraId="18B4771E" w14:textId="77777777" w:rsidR="006B41C7" w:rsidRDefault="006B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0F6BF3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D3C5B" w14:textId="77777777" w:rsidR="006B41C7" w:rsidRDefault="006B41C7">
      <w:r>
        <w:separator/>
      </w:r>
    </w:p>
  </w:footnote>
  <w:footnote w:type="continuationSeparator" w:id="0">
    <w:p w14:paraId="59D4B59F" w14:textId="77777777" w:rsidR="006B41C7" w:rsidRDefault="006B4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A05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C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1782E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5E3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2021-03-04T12:53:00Z</dcterms:modified>
</cp:coreProperties>
</file>